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A06334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A06334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A06334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A06334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A06334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A06334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A06334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38693E57" w:rsidR="00325B8D" w:rsidRPr="00A06334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A06334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388952F7" w14:textId="06CB3B9A" w:rsidR="005F3CCA" w:rsidRPr="00A06334" w:rsidRDefault="005F3CCA" w:rsidP="007421E6">
      <w:pPr>
        <w:pStyle w:val="a3"/>
        <w:spacing w:line="240" w:lineRule="auto"/>
        <w:ind w:left="360"/>
        <w:rPr>
          <w:rFonts w:asciiTheme="minorHAnsi" w:hAnsiTheme="minorHAnsi" w:cstheme="minorHAnsi"/>
          <w:b/>
          <w:bCs/>
        </w:rPr>
      </w:pPr>
    </w:p>
    <w:p w14:paraId="68ADAEB9" w14:textId="5AA43A9D" w:rsidR="00695CC3" w:rsidRPr="00A06334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A06334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A06334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A06334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A06334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A06334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A06334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A06334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A06334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74581D" w14:textId="308DDF4F" w:rsidR="007421E6" w:rsidRPr="00A06334" w:rsidRDefault="00325B8D" w:rsidP="007421E6">
      <w:pPr>
        <w:pStyle w:val="21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A06334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A06334">
        <w:rPr>
          <w:rFonts w:asciiTheme="minorHAnsi" w:hAnsiTheme="minorHAnsi" w:cstheme="minorHAnsi"/>
          <w:b/>
          <w:sz w:val="22"/>
          <w:szCs w:val="22"/>
        </w:rPr>
        <w:t xml:space="preserve"> на</w:t>
      </w:r>
      <w:r w:rsidR="005F3CCA" w:rsidRPr="00A063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CCA" w:rsidRPr="00A06334">
        <w:rPr>
          <w:rFonts w:asciiTheme="minorHAnsi" w:hAnsiTheme="minorHAnsi" w:cstheme="minorHAnsi"/>
          <w:b/>
          <w:bCs/>
          <w:sz w:val="22"/>
          <w:szCs w:val="22"/>
        </w:rPr>
        <w:t xml:space="preserve">поставку </w:t>
      </w:r>
      <w:r w:rsidR="007421E6" w:rsidRPr="00A06334">
        <w:rPr>
          <w:rFonts w:asciiTheme="minorHAnsi" w:hAnsiTheme="minorHAnsi" w:cstheme="minorHAnsi"/>
          <w:b/>
          <w:bCs/>
          <w:sz w:val="22"/>
          <w:szCs w:val="22"/>
        </w:rPr>
        <w:t xml:space="preserve">оборудования (ноутбуки, </w:t>
      </w:r>
      <w:r w:rsidR="007B3E33">
        <w:rPr>
          <w:rFonts w:asciiTheme="minorHAnsi" w:hAnsiTheme="minorHAnsi" w:cstheme="minorHAnsi"/>
          <w:b/>
          <w:bCs/>
          <w:sz w:val="22"/>
          <w:szCs w:val="22"/>
        </w:rPr>
        <w:t xml:space="preserve"> подставка для ноутбуков, </w:t>
      </w:r>
      <w:r w:rsidR="007421E6" w:rsidRPr="00A06334">
        <w:rPr>
          <w:rFonts w:asciiTheme="minorHAnsi" w:hAnsiTheme="minorHAnsi" w:cstheme="minorHAnsi"/>
          <w:b/>
          <w:bCs/>
          <w:sz w:val="22"/>
          <w:szCs w:val="22"/>
        </w:rPr>
        <w:t>мониторы, мини ПК</w:t>
      </w:r>
      <w:r w:rsidR="007B3E33">
        <w:rPr>
          <w:rFonts w:asciiTheme="minorHAnsi" w:hAnsiTheme="minorHAnsi" w:cstheme="minorHAnsi"/>
          <w:b/>
          <w:bCs/>
          <w:sz w:val="22"/>
          <w:szCs w:val="22"/>
        </w:rPr>
        <w:t>, ИБП, МФУ</w:t>
      </w:r>
      <w:r w:rsidR="007421E6" w:rsidRPr="00A06334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06184E02" w14:textId="08B606E4" w:rsidR="00325B8D" w:rsidRPr="00A06334" w:rsidRDefault="00325B8D" w:rsidP="007421E6">
      <w:pPr>
        <w:pStyle w:val="2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A331419" w14:textId="77777777" w:rsidR="007421E6" w:rsidRPr="00A06334" w:rsidRDefault="007421E6" w:rsidP="00341F53">
      <w:pPr>
        <w:pStyle w:val="21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A06334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A06334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A06334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A06334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A06334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A06334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A06334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A06334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A06334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A06334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A06334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A06334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6334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A06334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6334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A06334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A06334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A06334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A06334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A06334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3.1. </w:t>
      </w:r>
      <w:r w:rsidRPr="00A06334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A06334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A06334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A06334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6848DDD1" w:rsidR="00325B8D" w:rsidRPr="00A06334" w:rsidRDefault="005A1D0E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Т</w:t>
      </w:r>
      <w:r w:rsidR="00325B8D" w:rsidRPr="00A06334">
        <w:rPr>
          <w:rFonts w:asciiTheme="minorHAnsi" w:hAnsiTheme="minorHAnsi" w:cstheme="minorHAnsi"/>
          <w:sz w:val="22"/>
          <w:szCs w:val="22"/>
        </w:rPr>
        <w:t>ендерные документы передаются</w:t>
      </w:r>
      <w:r w:rsidRPr="00A06334">
        <w:rPr>
          <w:rFonts w:asciiTheme="minorHAnsi" w:hAnsiTheme="minorHAnsi" w:cstheme="minorHAnsi"/>
          <w:sz w:val="22"/>
          <w:szCs w:val="22"/>
        </w:rPr>
        <w:t xml:space="preserve"> </w:t>
      </w:r>
      <w:r w:rsidR="00325B8D" w:rsidRPr="00A06334">
        <w:rPr>
          <w:rFonts w:asciiTheme="minorHAnsi" w:hAnsiTheme="minorHAnsi" w:cstheme="minorHAnsi"/>
          <w:sz w:val="22"/>
          <w:szCs w:val="22"/>
        </w:rPr>
        <w:t xml:space="preserve">на электронный адрес: </w:t>
      </w:r>
      <w:hyperlink r:id="rId5" w:history="1">
        <w:r w:rsidR="00325B8D" w:rsidRPr="00A06334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="00325B8D" w:rsidRPr="00A06334">
        <w:rPr>
          <w:rFonts w:asciiTheme="minorHAnsi" w:hAnsiTheme="minorHAnsi" w:cstheme="minorHAnsi"/>
          <w:sz w:val="22"/>
          <w:szCs w:val="22"/>
        </w:rPr>
        <w:t xml:space="preserve">  </w:t>
      </w:r>
      <w:r w:rsidR="00325B8D" w:rsidRPr="00A06334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r w:rsidR="00325B8D" w:rsidRPr="00A06334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r w:rsidR="00325B8D" w:rsidRPr="00A06334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A06334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A06334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A0633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A06334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1FEDAB59" w:rsidR="00325B8D" w:rsidRPr="00A06334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="005A1D0E" w:rsidRPr="00A06334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pass</w:t>
        </w:r>
        <w:r w:rsidR="005A1D0E" w:rsidRPr="00A06334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A06334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A06334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A06334">
        <w:rPr>
          <w:rFonts w:asciiTheme="minorHAnsi" w:hAnsiTheme="minorHAnsi" w:cstheme="minorHAnsi"/>
          <w:bCs/>
          <w:sz w:val="22"/>
          <w:szCs w:val="22"/>
        </w:rPr>
        <w:t xml:space="preserve">не должны содержать подписей, печатей, наименований, адресов, телефонов и иной </w:t>
      </w:r>
      <w:r w:rsidRPr="00A06334">
        <w:rPr>
          <w:rFonts w:asciiTheme="minorHAnsi" w:hAnsiTheme="minorHAnsi" w:cstheme="minorHAnsi"/>
          <w:bCs/>
          <w:sz w:val="22"/>
          <w:szCs w:val="22"/>
        </w:rPr>
        <w:lastRenderedPageBreak/>
        <w:t>информации, указывающей на принадлежность к Вашей фирме.</w:t>
      </w:r>
      <w:r w:rsidRPr="00A06334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A06334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A06334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A06334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A06334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  <w:b/>
        </w:rPr>
        <w:t xml:space="preserve">Содержимое 1-го конверта: </w:t>
      </w:r>
      <w:r w:rsidRPr="00A06334">
        <w:rPr>
          <w:rFonts w:asciiTheme="minorHAnsi" w:hAnsiTheme="minorHAnsi" w:cstheme="minorHAnsi"/>
        </w:rPr>
        <w:t>Квалификационная информация</w:t>
      </w:r>
      <w:r w:rsidRPr="00A06334">
        <w:rPr>
          <w:rFonts w:asciiTheme="minorHAnsi" w:eastAsia="Georgia" w:hAnsiTheme="minorHAnsi" w:cstheme="minorHAnsi"/>
        </w:rPr>
        <w:t xml:space="preserve"> </w:t>
      </w:r>
      <w:r w:rsidRPr="00A06334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  <w:b/>
        </w:rPr>
        <w:t>Содержимое 2-го конверта</w:t>
      </w:r>
      <w:r w:rsidRPr="00A06334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A06334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A06334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A06334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A06334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A06334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A06334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A06334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A06334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A06334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A06334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A06334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A06334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A06334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A06334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A06334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A06334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A06334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A06334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A06334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A06334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A06334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334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A06334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A06334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A06334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A06334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A06334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A06334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A06334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A06334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A06334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A06334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A06334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A06334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A06334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A06334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A06334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A06334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A06334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A06334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A06334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A06334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A06334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</w:p>
          <w:p w14:paraId="47E8870B" w14:textId="6CEFC6CF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A06334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A06334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70EFA199" w:rsidR="005A7609" w:rsidRPr="00A06334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D0E" w:rsidRPr="00A06334" w14:paraId="280B7CF7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9FE" w14:textId="30A22291" w:rsidR="005A1D0E" w:rsidRPr="00A06334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2D1" w14:textId="7D1EAD63" w:rsidR="005A1D0E" w:rsidRPr="00A06334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  <w:r w:rsidR="007421E6" w:rsidRPr="00A06334">
              <w:rPr>
                <w:rFonts w:asciiTheme="minorHAnsi" w:hAnsiTheme="minorHAnsi" w:cstheme="minorHAnsi"/>
                <w:sz w:val="22"/>
                <w:szCs w:val="22"/>
              </w:rPr>
              <w:t xml:space="preserve"> 60 к</w:t>
            </w:r>
            <w:r w:rsidR="007B3E33">
              <w:rPr>
                <w:rFonts w:asciiTheme="minorHAnsi" w:hAnsiTheme="minorHAnsi" w:cstheme="minorHAnsi"/>
                <w:sz w:val="22"/>
                <w:szCs w:val="22"/>
              </w:rPr>
              <w:t xml:space="preserve">алендарных </w:t>
            </w:r>
            <w:r w:rsidR="007421E6" w:rsidRPr="00A06334">
              <w:rPr>
                <w:rFonts w:asciiTheme="minorHAnsi" w:hAnsiTheme="minorHAnsi" w:cstheme="minorHAnsi"/>
                <w:sz w:val="22"/>
                <w:szCs w:val="22"/>
              </w:rPr>
              <w:t>дней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B32" w14:textId="77777777" w:rsidR="005A1D0E" w:rsidRPr="00A06334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1E6" w:rsidRPr="00A06334" w14:paraId="7FC512AA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C2C6" w14:textId="4E140B13" w:rsidR="007421E6" w:rsidRPr="00A06334" w:rsidRDefault="007421E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2275" w14:textId="1CEE9A0A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Наличие гарантии сроком не менее 12 месяцев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DE82" w14:textId="77777777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1E6" w:rsidRPr="00A06334" w14:paraId="083586C9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89B3" w14:textId="71F9C4C5" w:rsidR="007421E6" w:rsidRPr="00A06334" w:rsidRDefault="007421E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37A" w14:textId="306D2790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21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Оборудование должно быть новым, не бывшим в употреблении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BBEF" w14:textId="77777777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1E6" w:rsidRPr="00A06334" w14:paraId="14CE4E6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5903" w14:textId="15FEB6D9" w:rsidR="007421E6" w:rsidRPr="00A06334" w:rsidRDefault="007421E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9E1B" w14:textId="21978D4A" w:rsidR="007421E6" w:rsidRPr="00A06334" w:rsidRDefault="007421E6" w:rsidP="001541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21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случае обнаружения заводского брака поставщик должен заменить бракованные устройства на аналогичные устройства в течение 5 (Пяти) рабочих дней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5FBA" w14:textId="77777777" w:rsidR="007421E6" w:rsidRPr="00A06334" w:rsidRDefault="007421E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FD3F8" w14:textId="4A8394C1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4325FF69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3C43E3B" w14:textId="3A94242B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03C4B14" w14:textId="041926B8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3EF1C43" w14:textId="171C11C1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2E10F5" w14:textId="314D8E40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75701D9" w14:textId="2FEE9815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4D2495" w14:textId="77777777" w:rsidR="005F3CCA" w:rsidRPr="00A06334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A0633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A06334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6334">
        <w:rPr>
          <w:rFonts w:asciiTheme="minorHAnsi" w:hAnsiTheme="minorHAnsi" w:cstheme="minorHAnsi"/>
          <w:b/>
          <w:bCs/>
          <w:sz w:val="22"/>
          <w:szCs w:val="22"/>
        </w:rPr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2"/>
        <w:gridCol w:w="998"/>
        <w:gridCol w:w="1126"/>
        <w:gridCol w:w="1258"/>
        <w:gridCol w:w="2125"/>
        <w:gridCol w:w="927"/>
        <w:gridCol w:w="1695"/>
        <w:gridCol w:w="1275"/>
        <w:gridCol w:w="2128"/>
      </w:tblGrid>
      <w:tr w:rsidR="005A7609" w:rsidRPr="00A06334" w14:paraId="7951EBF1" w14:textId="77777777" w:rsidTr="009424AF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A06334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A06334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A06334" w14:paraId="53599BFA" w14:textId="77777777" w:rsidTr="009424AF">
        <w:trPr>
          <w:gridAfter w:val="4"/>
          <w:wAfter w:w="6025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A06334" w14:paraId="29B614D2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A06334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A06334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3E4B1AE7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323C" w14:textId="64C09407" w:rsidR="009424AF" w:rsidRPr="00A06334" w:rsidRDefault="009424AF" w:rsidP="009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E46" w14:textId="0545E53E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Ноутбук на базе процессора i3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(Параметры: процессор Intel i3 11/12 поколения, 16GB, SSD 256Gb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Модель: Dell Vostro 3510 Intel Core i3-1115G4 (3.00-4.10GHz), 16GB DDR4, 256GB SSD m.2 NVMe, либо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Dell Latitude 3530 Intel Core i3-1215U, 16GB DDR4, 256GB SSD m.2 NVMe, либо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Ноутбук HP ProBook 450 G9 UMA i3-1215U,15.6, 16GB 3200, 256GB PCIe, W11p6, 1yw, HDweb, numpad, Wifi6+BT5.2)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D8ED" w14:textId="585299DE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F075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C27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38D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51E54DA5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239" w14:textId="4AFBB5FF" w:rsidR="009424AF" w:rsidRPr="00A06334" w:rsidRDefault="009424AF" w:rsidP="009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A89" w14:textId="25CFFBD4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Ноутбук на базе процессора i5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(Параметры: процессор Intel i3 11/12 поколения, 16GB, SSD 256/512Gb, FHD, IPS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Модель: HP ProBook 450 G8 Core™ i5-1135G7, 16GB, 256GB SSD, 15.6" (1920x1080) IPS)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0DD6" w14:textId="4D2C5F34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C34E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4C7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E09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50AFF756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779" w14:textId="3581CF3B" w:rsidR="009424AF" w:rsidRPr="00A06334" w:rsidRDefault="009424AF" w:rsidP="009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7F7" w14:textId="282D1663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Охлаждающая подставка для ноутбуков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(Модель: Deepcool N200 DP-N11N-N200, 15.6", Вентилятор 12см, 1000±10%RPM, Сквозной USB 2.0, 22,7дБл, Габариты 340.5х310,5х59мм, Чёрный, либо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 Охлаждающая подставка для ноутбука X-Game X6 15,6")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29C" w14:textId="3A4D306C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A3962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EDC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1A0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112CC6F8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1A3" w14:textId="68D400DE" w:rsidR="009424AF" w:rsidRPr="00A06334" w:rsidRDefault="00A06334" w:rsidP="005A7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C333" w14:textId="07BF529A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Монитор диагональю 27" (FHD, HDMI)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(Параметры: IPS, FHD 1920x1080, 250cd/m2, 178/178, VGA, HDMI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Вендор: AOC, Phillips, Samsung, Dell, HP)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315" w14:textId="562AC904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D127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BAB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B8B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00690330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500" w14:textId="28322216" w:rsidR="009424AF" w:rsidRPr="00A06334" w:rsidRDefault="00A06334" w:rsidP="005A7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AB2" w14:textId="552B3E4D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Монитор диагональю 21,5" (HDMI)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(Параметры: 1920x1080, 250cd/m2, 178/178, VGA, HDMI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Вендор: AOC, Phillips, Samsung, Dell, HP)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C342" w14:textId="220F922C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9796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2D0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FEE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7CE7BC09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04FA" w14:textId="26526CE0" w:rsidR="009424AF" w:rsidRPr="00A06334" w:rsidRDefault="00A06334" w:rsidP="005A7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207" w14:textId="0820A05B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Мини ПК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(Параметры: процессор i3, DDR4 1х8Gb, SSD 256Gb, VGA, HDMI, RJ-45, form-factor: mini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Модель: SHARE X5370 Mini PC 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Intel Core i3-7100U 2.4GHz, SODIMM DDR4  1ч8GB, SSD 240GB SATA, Intel HD graphics 630, 1000 Mbit/s, USB: 4xUSB2.0 + 4xUSB3.0, VGA, HDMI, либо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HP Desktop Mini 260 G4 I3-10110U/8Gb/256Gb/Dos/Eng, либо аналог)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4C2" w14:textId="7B31EB6C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C707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523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F08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139EE73F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9951" w14:textId="4327A0C5" w:rsidR="009424AF" w:rsidRPr="00A06334" w:rsidRDefault="00A06334" w:rsidP="005A7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BAA" w14:textId="37A5C3DE" w:rsidR="009424AF" w:rsidRPr="00A06334" w:rsidRDefault="009424AF" w:rsidP="005A76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Источник бесперейбойного питания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(850VA, АКБ 7,2/9 Ah, Shuko)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089" w14:textId="3131A994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0D133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BAA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64E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3DAF47AB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39E" w14:textId="624F85C6" w:rsidR="009424AF" w:rsidRPr="00A06334" w:rsidRDefault="00A06334" w:rsidP="005A7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895" w14:textId="24239932" w:rsidR="009424AF" w:rsidRPr="00A06334" w:rsidRDefault="009424AF" w:rsidP="005A76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МФУ Canon i-SENSYS MF3010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(в комплекте 2 дополнительных картриджа 728/725)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3135" w14:textId="59436A21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7995E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8030" w14:textId="77777777" w:rsidR="009424AF" w:rsidRPr="00A06334" w:rsidRDefault="009424AF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7DB" w14:textId="77777777" w:rsidR="009424AF" w:rsidRPr="00A06334" w:rsidRDefault="009424AF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24AF" w:rsidRPr="00A06334" w14:paraId="0C3AD7DB" w14:textId="77777777" w:rsidTr="009424AF">
        <w:trPr>
          <w:gridAfter w:val="4"/>
          <w:wAfter w:w="6025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B7A2" w14:textId="1FCBDF76" w:rsidR="009424AF" w:rsidRPr="00A06334" w:rsidRDefault="00A06334" w:rsidP="0094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8CE" w14:textId="630BAD96" w:rsidR="009424AF" w:rsidRPr="00A06334" w:rsidRDefault="009424AF" w:rsidP="009424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2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МФУ HP LaserJet Pro 400 M428fdn</w:t>
            </w:r>
            <w:r w:rsidRPr="009424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(Duplex, RJ-45, в комплекте 1 дополнительный картридж oem CF259A (без чипа))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791" w14:textId="0A4B6C40" w:rsidR="009424AF" w:rsidRPr="00A06334" w:rsidRDefault="00A06334" w:rsidP="00A0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633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B3B8D" w14:textId="77777777" w:rsidR="009424AF" w:rsidRPr="00A06334" w:rsidRDefault="009424AF" w:rsidP="009424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AB3" w14:textId="77777777" w:rsidR="009424AF" w:rsidRPr="00A06334" w:rsidRDefault="009424AF" w:rsidP="009424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3FF" w14:textId="77777777" w:rsidR="009424AF" w:rsidRPr="00A06334" w:rsidRDefault="009424AF" w:rsidP="00942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E4BA97" w14:textId="50A93D81" w:rsidR="005A7609" w:rsidRPr="00A06334" w:rsidRDefault="00750C88" w:rsidP="005A76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*каждая позиция будет рассматриваться как отдельный лот.</w:t>
      </w:r>
    </w:p>
    <w:p w14:paraId="07D715B1" w14:textId="77777777" w:rsidR="005A7609" w:rsidRPr="00A06334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7CAD1" w14:textId="6D0CEEEF" w:rsidR="005A7609" w:rsidRPr="00A06334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A0633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Внимание: </w:t>
      </w:r>
      <w:r w:rsidR="002C29DD" w:rsidRPr="00A0633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для резидентов </w:t>
      </w:r>
      <w:r w:rsidR="00E10B98" w:rsidRPr="00A0633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Цены указываются в национальной валюте Кыргызской Республики (сомах) </w:t>
      </w:r>
      <w:r w:rsidRPr="00A0633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 включением всех налогов.</w:t>
      </w:r>
    </w:p>
    <w:p w14:paraId="2ECB6028" w14:textId="77777777" w:rsidR="005A7609" w:rsidRPr="00A06334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A0633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A0633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A06334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8870EF9" w14:textId="0FC9B7D3" w:rsidR="00B14304" w:rsidRPr="00A06334" w:rsidRDefault="00B14304" w:rsidP="009424A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14304" w:rsidRPr="00A0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C1639D2"/>
    <w:multiLevelType w:val="multilevel"/>
    <w:tmpl w:val="DC928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AD72F0"/>
    <w:multiLevelType w:val="multilevel"/>
    <w:tmpl w:val="780E3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6"/>
  </w:num>
  <w:num w:numId="7" w16cid:durableId="1750082750">
    <w:abstractNumId w:val="4"/>
  </w:num>
  <w:num w:numId="8" w16cid:durableId="128596522">
    <w:abstractNumId w:val="7"/>
  </w:num>
  <w:num w:numId="9" w16cid:durableId="1682077697">
    <w:abstractNumId w:val="8"/>
  </w:num>
  <w:num w:numId="10" w16cid:durableId="86922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2C29DD"/>
    <w:rsid w:val="00325B8D"/>
    <w:rsid w:val="00341F53"/>
    <w:rsid w:val="003C05E7"/>
    <w:rsid w:val="005A1D0E"/>
    <w:rsid w:val="005A7609"/>
    <w:rsid w:val="005F3CCA"/>
    <w:rsid w:val="00695CC3"/>
    <w:rsid w:val="007421E6"/>
    <w:rsid w:val="00750C88"/>
    <w:rsid w:val="007B3E33"/>
    <w:rsid w:val="009424AF"/>
    <w:rsid w:val="00A06334"/>
    <w:rsid w:val="00B14304"/>
    <w:rsid w:val="00D37366"/>
    <w:rsid w:val="00E10B98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CCA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CCA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5B8D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A1D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CCA"/>
    <w:rPr>
      <w:rFonts w:ascii="Calibri" w:eastAsia="Calibri" w:hAnsi="Calibri" w:cs="Calibri"/>
      <w:color w:val="2E75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CA"/>
    <w:rPr>
      <w:rFonts w:ascii="Calibri" w:eastAsia="Calibri" w:hAnsi="Calibri" w:cs="Calibri"/>
      <w:color w:val="2E75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12</cp:revision>
  <dcterms:created xsi:type="dcterms:W3CDTF">2022-10-14T05:40:00Z</dcterms:created>
  <dcterms:modified xsi:type="dcterms:W3CDTF">2023-02-03T08:19:00Z</dcterms:modified>
</cp:coreProperties>
</file>